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FAB1">
      <w:pPr>
        <w:pStyle w:val="6"/>
        <w:keepNext w:val="0"/>
        <w:keepLines w:val="0"/>
        <w:widowControl/>
        <w:suppressLineNumbers w:val="0"/>
        <w:spacing w:before="150" w:beforeAutospacing="0" w:after="150" w:afterAutospacing="0"/>
        <w:ind w:firstLine="576" w:firstLineChars="200"/>
        <w:outlineLvl w:val="0"/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淄博腾越节能科技开发有限公司对</w:t>
      </w:r>
      <w:r>
        <w:rPr>
          <w:rFonts w:hint="eastAsia"/>
          <w:color w:val="auto"/>
          <w:kern w:val="0"/>
          <w:sz w:val="28"/>
          <w:szCs w:val="28"/>
        </w:rPr>
        <w:t>瑞阳制药</w:t>
      </w:r>
      <w:r>
        <w:rPr>
          <w:rFonts w:hint="eastAsia"/>
          <w:color w:val="auto"/>
          <w:kern w:val="0"/>
          <w:sz w:val="28"/>
          <w:szCs w:val="28"/>
          <w:lang w:val="en-US" w:eastAsia="zh-CN"/>
        </w:rPr>
        <w:t>股份</w:t>
      </w:r>
      <w:r>
        <w:rPr>
          <w:rFonts w:hint="eastAsia"/>
          <w:color w:val="auto"/>
          <w:kern w:val="0"/>
          <w:sz w:val="28"/>
          <w:szCs w:val="28"/>
        </w:rPr>
        <w:t>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生物医药建设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进行了节能验收工作。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验收组前期对验收材料进行收集并分析对比，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在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现场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验收过程中，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验收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组详细查看了项目的工艺设备、设备台帐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eastAsia="zh-CN"/>
        </w:rPr>
        <w:t>、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能耗报表等相关资料，与企业进行了深入的质询和讨论。依据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eastAsia="zh-CN"/>
        </w:rPr>
        <w:t>《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山东省固定资产投资项目节能验收管理办法》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，专家组对该项目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建设方案、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工艺、技术、设备和用能情况进行了细致的研究和分析。</w:t>
      </w:r>
    </w:p>
    <w:p w14:paraId="4450454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360" w:lineRule="atLeast"/>
        <w:ind w:left="0" w:right="0" w:firstLine="576" w:firstLineChars="200"/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该项目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建设方案建设完成，建设过程中充分考虑了工艺布局的合理性、能源利用的高效性以及环境影响的最小化；用能方案、主要用能设备能效水平、节能措施、综合能源消费量及能效水平。</w:t>
      </w:r>
    </w:p>
    <w:p w14:paraId="442F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项目建设方案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合格</w:t>
      </w:r>
    </w:p>
    <w:p w14:paraId="65D4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项目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建设方案已落实，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规划充分考虑了工艺布局的合理性、能源利用的高效性以及环境影响的最小化。</w:t>
      </w:r>
    </w:p>
    <w:p w14:paraId="672C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用能方案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合格</w:t>
      </w:r>
    </w:p>
    <w:p w14:paraId="460B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项目的用能方案遵循了能源节约和优化配置的原则，通过精确的能源需求分析和能源管理，确保了能源使用的合理性和经济性。</w:t>
      </w:r>
    </w:p>
    <w:p w14:paraId="49F5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主要用能设备能效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合格</w:t>
      </w:r>
    </w:p>
    <w:p w14:paraId="60730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项目中的主要用能设备均采用了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节能设备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符合国家能效要求，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有助于降低整体能耗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水平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。</w:t>
      </w:r>
    </w:p>
    <w:p w14:paraId="5BC8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节能措施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合格</w:t>
      </w:r>
    </w:p>
    <w:p w14:paraId="3CDA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项目实施了多项节能措施，包括但不限于优化工艺流程、提高设备运行效率、采用节能技术、加强能源监控和管理等。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节能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措施的实施显著提高了能源利用效率，减少了能源浪费。</w:t>
      </w:r>
    </w:p>
    <w:p w14:paraId="7F39B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综合能源消费量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合格</w:t>
      </w:r>
    </w:p>
    <w:p w14:paraId="1DF8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该项目在设计和实施阶段高度重视节能工作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项目验收期间综合能源消费量略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高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于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节能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能耗水平。符合《山东省固定资产投资项目节能审查实施办法》〔2023〕（鲁发改环资461号）的规定，即年综合能耗未超过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节能承诺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综合能耗量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的10%。</w:t>
      </w:r>
    </w:p>
    <w:p w14:paraId="3C25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default" w:ascii="Times New Roman" w:hAnsi="Times New Roman" w:eastAsia="宋体"/>
          <w:color w:val="auto"/>
          <w:sz w:val="28"/>
          <w:szCs w:val="28"/>
          <w:highlight w:val="none"/>
        </w:rPr>
        <w:t>能效水平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合格</w:t>
      </w:r>
    </w:p>
    <w:p w14:paraId="2777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宋体"/>
          <w:b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项目验收期</w:t>
      </w:r>
      <w:r>
        <w:rPr>
          <w:rFonts w:hint="eastAsia" w:ascii="Times New Roman" w:hAnsi="Times New Roman" w:eastAsia="宋体" w:cs="宋体"/>
          <w:b w:val="0"/>
          <w:color w:val="auto"/>
          <w:kern w:val="0"/>
          <w:sz w:val="28"/>
          <w:szCs w:val="28"/>
          <w:highlight w:val="none"/>
          <w:lang w:val="en-US" w:eastAsia="zh-CN" w:bidi="ar"/>
        </w:rPr>
        <w:t>项目产品的单位能耗水平略高于节能承诺产品单耗水平，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随着生产过程的逐步稳定和优化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及产能的提升，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预计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产品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能耗水平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在产量提高的同时会有所下降，不会高于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节能承诺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的单耗水平。</w:t>
      </w:r>
    </w:p>
    <w:p w14:paraId="527D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textAlignment w:val="auto"/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</w:rPr>
      </w:pP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综上所述，</w:t>
      </w:r>
      <w:r>
        <w:rPr>
          <w:rFonts w:hint="eastAsia"/>
          <w:color w:val="auto"/>
          <w:kern w:val="0"/>
          <w:sz w:val="28"/>
          <w:szCs w:val="28"/>
        </w:rPr>
        <w:t>瑞阳制药</w:t>
      </w:r>
      <w:r>
        <w:rPr>
          <w:rFonts w:hint="eastAsia"/>
          <w:color w:val="auto"/>
          <w:kern w:val="0"/>
          <w:sz w:val="28"/>
          <w:szCs w:val="28"/>
          <w:lang w:val="en-US" w:eastAsia="zh-CN"/>
        </w:rPr>
        <w:t>股份</w:t>
      </w:r>
      <w:r>
        <w:rPr>
          <w:rFonts w:hint="eastAsia"/>
          <w:color w:val="auto"/>
          <w:kern w:val="0"/>
          <w:sz w:val="28"/>
          <w:szCs w:val="28"/>
        </w:rPr>
        <w:t>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生物医药建设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在项目建设方案、工艺流程、节能措施的实施以及能耗水平控制等方面均符合国家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  <w:lang w:val="en-US" w:eastAsia="zh-CN"/>
        </w:rPr>
        <w:t>和地方的</w:t>
      </w:r>
      <w:r>
        <w:rPr>
          <w:rFonts w:hint="eastAsia" w:ascii="Times New Roman" w:hAnsi="Times New Roman" w:eastAsia="宋体" w:cs="宋体"/>
          <w:i w:val="0"/>
          <w:caps w:val="0"/>
          <w:color w:val="auto"/>
          <w:spacing w:val="4"/>
          <w:sz w:val="28"/>
          <w:szCs w:val="28"/>
          <w:highlight w:val="none"/>
          <w:shd w:val="clear" w:fill="FFFFFF"/>
        </w:rPr>
        <w:t>节能要求。</w:t>
      </w:r>
    </w:p>
    <w:p w14:paraId="6648E69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633E"/>
    <w:rsid w:val="126B4FBE"/>
    <w:rsid w:val="20132BAC"/>
    <w:rsid w:val="231352C9"/>
    <w:rsid w:val="2B033E75"/>
    <w:rsid w:val="2DFA155F"/>
    <w:rsid w:val="308C66BA"/>
    <w:rsid w:val="332B21BB"/>
    <w:rsid w:val="3D3D3216"/>
    <w:rsid w:val="4944592C"/>
    <w:rsid w:val="5FF24BF3"/>
    <w:rsid w:val="63F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next w:val="4"/>
    <w:qFormat/>
    <w:uiPriority w:val="0"/>
    <w:pPr>
      <w:widowControl/>
      <w:spacing w:line="360" w:lineRule="auto"/>
      <w:ind w:firstLine="480"/>
      <w:jc w:val="left"/>
    </w:pPr>
    <w:rPr>
      <w:kern w:val="0"/>
      <w:sz w:val="28"/>
      <w:szCs w:val="20"/>
    </w:rPr>
  </w:style>
  <w:style w:type="paragraph" w:customStyle="1" w:styleId="4">
    <w:name w:val="样式 正文文本缩进 + 行距: 1.5 倍行距"/>
    <w:basedOn w:val="5"/>
    <w:next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ind w:left="420" w:leftChars="200"/>
    </w:pPr>
    <w:rPr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813</Characters>
  <Lines>0</Lines>
  <Paragraphs>0</Paragraphs>
  <TotalTime>8</TotalTime>
  <ScaleCrop>false</ScaleCrop>
  <LinksUpToDate>false</LinksUpToDate>
  <CharactersWithSpaces>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2025-03-24T03:55:00Z</dcterms:created>
  <dc:creator>x'k'j</dc:creator>
  <cp:lastModifiedBy>诗和远方</cp:lastModifiedBy>
  <dcterms:modified xsi:type="dcterms:W3CDTF">2025-03-24T07:30:17Z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eyJoZGlkIjoiNWE2OTU2OWNlYzgxMmVhNjc2NTBhYjc5MDVjMzVhNDAiLCJ1c2VySWQiOiI1MTYyMTE1OTYifQ==</vt:lpwstr>
  </property>
  <property fmtid="{D5CDD505-2E9C-101B-9397-08002B2CF9AE}" pid="4" name="ICV">
    <vt:lpwstr>9B7AB9FD68104089BB3B875A03616CE2_13</vt:lpwstr>
  </property>
</Properties>
</file>